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8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學年度高、國一新生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外套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學號樣式如下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附件2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一、學號顏色：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高中黃色，國中紅色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二、學號樣式內容：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1、左胸前已有正心中學標誌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不必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再繡正心中學字樣。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9" w:right="0" w:hanging="299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2、右胸前：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上排繡學號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：高一普通班學號六碼：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10XXX(寬7公分)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25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高一音樂班學號六碼：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11XXX(寬7公分)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25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國一普通班學號六碼：10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XXX (寬6公分)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25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國一音樂班學號六碼：10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6XX (寬6公分)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6" w:right="0" w:firstLine="2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國一美術班學號六碼：10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7XX (寬6公分)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7" w:right="0" w:hanging="1562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下排繡班級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姓名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戶籍地名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(寬10公分)。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5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X為自己學號之號碼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3、文字、數字排序：一律為由左至右（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標楷體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4、班級、戶籍地名均須加括弧，例如 (正)、(彰)，特教班只(音)(美)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三、戶籍地名說明如下：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1、住在雲林縣的鄉鎮名：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32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斗六市(六)、斗南鎮(南)、虎尾鎮(虎)、西螺鎮(螺)、北港鎮(港)、土庫鎮(土)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972"/>
        </w:tabs>
        <w:spacing w:after="0" w:before="0" w:line="276" w:lineRule="auto"/>
        <w:ind w:left="480" w:right="0" w:firstLine="32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林內鄉(內)、二崙鄉(二)、崙背鄉(崙)、大埤鄉(埤)、麥寮鄉(麥)、台西鄉(西)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32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四湖鄉(四)、口湖鄉(口)、水林鄉(水)、褒忠鄉(褒)、莿桐鄉(莿)、古坑鄉(古)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32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元長鄉(元)、東勢鄉(勢)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2、住其他縣市的縣市名：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8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彰化縣(彰)、南投縣(投)、台中縣市(中)、苗栗縣(苗)、新竹縣市(竹)、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8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桃園縣市(桃)台北縣市(北)、基隆市(基)、宜蘭縣(宜)、花蓮縣(花)、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8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台東縣市(東)、屏東縣市(屏)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高雄縣市(高)、台南縣市(南)、嘉義縣市(嘉)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四、完整樣式請參考照片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</w:p>
    <w:tbl>
      <w:tblPr>
        <w:tblStyle w:val="Table1"/>
        <w:tblW w:w="10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27.5"/>
        <w:gridCol w:w="5127.5"/>
        <w:tblGridChange w:id="0">
          <w:tblGrid>
            <w:gridCol w:w="5127.5"/>
            <w:gridCol w:w="512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高中格式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國中格式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</w:rPr>
              <w:drawing>
                <wp:inline distB="114300" distT="114300" distL="114300" distR="114300">
                  <wp:extent cx="2953123" cy="2094547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23" cy="20945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</w:rPr>
              <w:drawing>
                <wp:inline distB="114300" distT="114300" distL="114300" distR="114300">
                  <wp:extent cx="2877767" cy="2104073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767" cy="2104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567" w:top="1134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